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28D19E" w14:textId="77777777" w:rsidR="00F3612E" w:rsidRDefault="00F3612E" w:rsidP="00F3612E">
      <w:r>
        <w:t>1. Оцените (рассчитайте) минимальную эффективную частоту за рекламный цикл для ноутбуков, рекламируемых в журналах для руководителей. Целевая аудитория — непостоянные потребители, коммуникативная цель — припоминание марки, информационная стратегия отношения к марке.</w:t>
      </w:r>
    </w:p>
    <w:p w14:paraId="30FE87F2" w14:textId="77777777" w:rsidR="00F3612E" w:rsidRDefault="00F3612E" w:rsidP="00F3612E"/>
    <w:p w14:paraId="2FB217D2" w14:textId="77777777" w:rsidR="00F3612E" w:rsidRDefault="00F3612E" w:rsidP="00F3612E"/>
    <w:p w14:paraId="5E48A303" w14:textId="6549302F" w:rsidR="00F3612E" w:rsidRDefault="00F3612E" w:rsidP="00F3612E"/>
    <w:p w14:paraId="23A28E1F" w14:textId="77777777" w:rsidR="00F3612E" w:rsidRDefault="00F3612E" w:rsidP="00F3612E">
      <w:r>
        <w:t xml:space="preserve">2. Оцените (рассчитайте) минимальную эффективную частоту за рекламный цикл сыра </w:t>
      </w:r>
      <w:proofErr w:type="spellStart"/>
      <w:r>
        <w:t>Almette</w:t>
      </w:r>
      <w:proofErr w:type="spellEnd"/>
      <w:r>
        <w:t>. Рекламируется в дневных телепередачах (не в сериалах). Целевая аудитория — лояльные потребители марки, цель коммуникации — узнавание марки, трансформационная стратегия отношения к марке.</w:t>
      </w:r>
    </w:p>
    <w:p w14:paraId="2E33018C" w14:textId="77777777" w:rsidR="00F3612E" w:rsidRDefault="00F3612E" w:rsidP="00F3612E"/>
    <w:p w14:paraId="227E5B05" w14:textId="77777777" w:rsidR="00851BCF" w:rsidRDefault="00851BCF"/>
    <w:sectPr w:rsidR="00851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185"/>
    <w:rsid w:val="00753185"/>
    <w:rsid w:val="00851BCF"/>
    <w:rsid w:val="00F36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F19DE"/>
  <w15:chartTrackingRefBased/>
  <w15:docId w15:val="{E54B7198-48ED-4C82-B7DB-7E25AFF0B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2021-10-20T13:56:00Z</dcterms:created>
  <dcterms:modified xsi:type="dcterms:W3CDTF">2021-10-20T13:56:00Z</dcterms:modified>
</cp:coreProperties>
</file>